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64B9" w14:textId="1C7D4B33" w:rsidR="00473ABD" w:rsidRPr="007D73FB" w:rsidRDefault="00B21F99" w:rsidP="00E030DF">
      <w:pPr>
        <w:spacing w:before="120" w:after="120" w:line="360" w:lineRule="auto"/>
        <w:ind w:left="3" w:right="-1080"/>
        <w:rPr>
          <w:rFonts w:ascii="Arial" w:hAnsi="Arial"/>
          <w:sz w:val="28"/>
        </w:rPr>
      </w:pPr>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05358E6"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w:t>
      </w:r>
      <w:r w:rsidR="00672634">
        <w:rPr>
          <w:rFonts w:ascii="Arial" w:hAnsi="Arial" w:cs="Arial"/>
          <w:b/>
          <w:bCs/>
        </w:rPr>
        <w:t>7</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61D61728" w14:textId="0DBA928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under two years of age are generally not fully face painted, however a nose and whiskers (or similar) is fine. Having an arm or hand painted with a flower, star or butterfly is also an option for very young children who may not sit still.</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1ED61BD8"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 xml:space="preserve">cause repetitive stress </w:t>
      </w:r>
      <w:proofErr w:type="gramStart"/>
      <w:r w:rsidR="00473ABD" w:rsidRPr="009B1AB5">
        <w:rPr>
          <w:rFonts w:ascii="Arial" w:hAnsi="Arial" w:cs="Arial"/>
          <w:color w:val="000000"/>
          <w:sz w:val="22"/>
          <w:szCs w:val="22"/>
        </w:rPr>
        <w:t>injuries</w:t>
      </w:r>
      <w:r w:rsidR="00DE0A54">
        <w:rPr>
          <w:rFonts w:ascii="Arial" w:hAnsi="Arial" w:cs="Arial"/>
          <w:color w:val="000000"/>
          <w:sz w:val="22"/>
          <w:szCs w:val="22"/>
        </w:rPr>
        <w:t>,</w:t>
      </w:r>
      <w:proofErr w:type="gramEnd"/>
      <w:r w:rsidR="00DE0A54">
        <w:rPr>
          <w:rFonts w:ascii="Arial" w:hAnsi="Arial" w:cs="Arial"/>
          <w:color w:val="000000"/>
          <w:sz w:val="22"/>
          <w:szCs w:val="22"/>
        </w:rPr>
        <w:t xml:space="preserve">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147B0BA3" w:rsidR="00A80265" w:rsidRDefault="00A80265" w:rsidP="00A80265">
      <w:pPr>
        <w:shd w:val="clear" w:color="auto" w:fill="FFFFFF"/>
        <w:spacing w:before="120" w:after="120" w:line="360" w:lineRule="auto"/>
        <w:rPr>
          <w:rFonts w:ascii="Arial" w:hAnsi="Arial" w:cs="Arial"/>
          <w:sz w:val="22"/>
          <w:szCs w:val="22"/>
        </w:rPr>
      </w:pPr>
      <w:r>
        <w:rPr>
          <w:rFonts w:ascii="Arial" w:hAnsi="Arial" w:cs="Arial"/>
          <w:sz w:val="22"/>
          <w:szCs w:val="22"/>
        </w:rPr>
        <w:t xml:space="preserve">Good Practice </w:t>
      </w:r>
      <w:r w:rsidR="00BA2F5F">
        <w:rPr>
          <w:rFonts w:ascii="Arial" w:hAnsi="Arial" w:cs="Arial"/>
          <w:sz w:val="22"/>
          <w:szCs w:val="22"/>
        </w:rPr>
        <w:t>in Early Years Infection Control (Pre-school Learning Alliance 2009)</w:t>
      </w:r>
    </w:p>
    <w:sectPr w:rsidR="00A80265"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263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Stepping Stones</cp:lastModifiedBy>
  <cp:revision>2</cp:revision>
  <cp:lastPrinted>2018-05-03T11:09:00Z</cp:lastPrinted>
  <dcterms:created xsi:type="dcterms:W3CDTF">2021-08-26T16:45:00Z</dcterms:created>
  <dcterms:modified xsi:type="dcterms:W3CDTF">2021-08-26T16:45:00Z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