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24DF281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3A6094">
        <w:rPr>
          <w:rFonts w:ascii="Arial" w:hAnsi="Arial" w:cs="Arial"/>
          <w:sz w:val="22"/>
          <w:szCs w:val="22"/>
        </w:rPr>
        <w:t>the committee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1CC19526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 xml:space="preserve">the </w:t>
      </w:r>
      <w:r w:rsidR="003A6094">
        <w:rPr>
          <w:rFonts w:ascii="Arial" w:hAnsi="Arial" w:cs="Arial"/>
          <w:sz w:val="22"/>
          <w:szCs w:val="22"/>
        </w:rPr>
        <w:t>committee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039C98E2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</w:t>
      </w:r>
      <w:r w:rsidR="003A6094">
        <w:rPr>
          <w:rFonts w:ascii="Arial" w:hAnsi="Arial" w:cs="Arial"/>
          <w:bCs/>
          <w:sz w:val="22"/>
          <w:szCs w:val="22"/>
        </w:rPr>
        <w:t>available on our website.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6094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2021-08-31T14:37:00Z</cp:lastPrinted>
  <dcterms:created xsi:type="dcterms:W3CDTF">2021-08-31T14:37:00Z</dcterms:created>
  <dcterms:modified xsi:type="dcterms:W3CDTF">2021-08-31T14:37:00Z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